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D697" w14:textId="77777777" w:rsidR="00331CA4" w:rsidRPr="00331CA4" w:rsidRDefault="0033455B" w:rsidP="00331CA4">
      <w:pPr>
        <w:pStyle w:val="BodyText"/>
        <w:jc w:val="both"/>
        <w:rPr>
          <w:rFonts w:ascii="Nunito Sans" w:hAnsi="Nunito Sans"/>
        </w:rPr>
      </w:pPr>
      <w:r>
        <w:rPr>
          <w:rFonts w:ascii="Nunito Sans" w:hAnsi="Nunito Sans"/>
        </w:rPr>
        <w:pict w14:anchorId="659BC7D2">
          <v:rect id="_x0000_i1025" style="width:0;height:1.5pt" o:hralign="center" o:hrstd="t" o:hr="t" fillcolor="#a0a0a0" stroked="f"/>
        </w:pict>
      </w:r>
    </w:p>
    <w:p w14:paraId="04C74E21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Purpose and Scope</w:t>
      </w:r>
    </w:p>
    <w:p w14:paraId="6D0CF16C" w14:textId="77777777" w:rsidR="00331CA4" w:rsidRPr="00331CA4" w:rsidRDefault="00331CA4" w:rsidP="00331CA4">
      <w:pPr>
        <w:pStyle w:val="BodyText"/>
        <w:numPr>
          <w:ilvl w:val="0"/>
          <w:numId w:val="2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Writing is essential for success in education, life, and work.</w:t>
      </w:r>
    </w:p>
    <w:p w14:paraId="2496A73C" w14:textId="77777777" w:rsidR="00331CA4" w:rsidRPr="00331CA4" w:rsidRDefault="00331CA4" w:rsidP="00331CA4">
      <w:pPr>
        <w:pStyle w:val="BodyText"/>
        <w:numPr>
          <w:ilvl w:val="0"/>
          <w:numId w:val="2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The framework supports schools in meeting expectations from the </w:t>
      </w:r>
      <w:r w:rsidRPr="00331CA4">
        <w:rPr>
          <w:rFonts w:ascii="Nunito Sans" w:hAnsi="Nunito Sans"/>
          <w:b/>
          <w:bCs/>
        </w:rPr>
        <w:t>EYFS</w:t>
      </w:r>
      <w:r w:rsidRPr="00331CA4">
        <w:rPr>
          <w:rFonts w:ascii="Nunito Sans" w:hAnsi="Nunito Sans"/>
        </w:rPr>
        <w:t xml:space="preserve">, </w:t>
      </w:r>
      <w:r w:rsidRPr="00331CA4">
        <w:rPr>
          <w:rFonts w:ascii="Nunito Sans" w:hAnsi="Nunito Sans"/>
          <w:b/>
          <w:bCs/>
        </w:rPr>
        <w:t>national curriculum</w:t>
      </w:r>
      <w:r w:rsidRPr="00331CA4">
        <w:rPr>
          <w:rFonts w:ascii="Nunito Sans" w:hAnsi="Nunito Sans"/>
        </w:rPr>
        <w:t xml:space="preserve">, and </w:t>
      </w:r>
      <w:r w:rsidRPr="00331CA4">
        <w:rPr>
          <w:rFonts w:ascii="Nunito Sans" w:hAnsi="Nunito Sans"/>
          <w:b/>
          <w:bCs/>
        </w:rPr>
        <w:t>Ofsted’s inspection framework</w:t>
      </w:r>
      <w:r w:rsidRPr="00331CA4">
        <w:rPr>
          <w:rFonts w:ascii="Nunito Sans" w:hAnsi="Nunito Sans"/>
        </w:rPr>
        <w:t>.</w:t>
      </w:r>
    </w:p>
    <w:p w14:paraId="429A6AF5" w14:textId="77777777" w:rsidR="00331CA4" w:rsidRPr="00331CA4" w:rsidRDefault="00331CA4" w:rsidP="00331CA4">
      <w:pPr>
        <w:pStyle w:val="BodyText"/>
        <w:numPr>
          <w:ilvl w:val="0"/>
          <w:numId w:val="2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It offers </w:t>
      </w:r>
      <w:r w:rsidRPr="00331CA4">
        <w:rPr>
          <w:rFonts w:ascii="Nunito Sans" w:hAnsi="Nunito Sans"/>
          <w:b/>
          <w:bCs/>
        </w:rPr>
        <w:t>non-statutory guidance</w:t>
      </w:r>
      <w:r w:rsidRPr="00331CA4">
        <w:rPr>
          <w:rFonts w:ascii="Nunito Sans" w:hAnsi="Nunito Sans"/>
        </w:rPr>
        <w:t xml:space="preserve"> for primary schools, ITT providers, early years settings, and secondary teachers.</w:t>
      </w:r>
    </w:p>
    <w:p w14:paraId="390621C1" w14:textId="77777777" w:rsidR="00331CA4" w:rsidRPr="00331CA4" w:rsidRDefault="0033455B" w:rsidP="00331CA4">
      <w:pPr>
        <w:pStyle w:val="BodyText"/>
        <w:jc w:val="both"/>
        <w:rPr>
          <w:rFonts w:ascii="Nunito Sans" w:hAnsi="Nunito Sans"/>
        </w:rPr>
      </w:pPr>
      <w:r>
        <w:rPr>
          <w:rFonts w:ascii="Nunito Sans" w:hAnsi="Nunito Sans"/>
        </w:rPr>
        <w:pict w14:anchorId="244DAB84">
          <v:rect id="_x0000_i1026" style="width:0;height:1.5pt" o:hralign="center" o:hrstd="t" o:hr="t" fillcolor="#a0a0a0" stroked="f"/>
        </w:pict>
      </w:r>
    </w:p>
    <w:p w14:paraId="3B49C068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Key Sections and Insights</w:t>
      </w:r>
    </w:p>
    <w:p w14:paraId="176720B6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1. Importance of Writing</w:t>
      </w:r>
    </w:p>
    <w:p w14:paraId="6A5EB22B" w14:textId="77777777" w:rsidR="00331CA4" w:rsidRPr="00331CA4" w:rsidRDefault="00331CA4" w:rsidP="00331CA4">
      <w:pPr>
        <w:pStyle w:val="BodyText"/>
        <w:numPr>
          <w:ilvl w:val="0"/>
          <w:numId w:val="3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Writing enhances reading, thinking, and learning.</w:t>
      </w:r>
    </w:p>
    <w:p w14:paraId="4DE60379" w14:textId="77777777" w:rsidR="00331CA4" w:rsidRPr="00331CA4" w:rsidRDefault="00331CA4" w:rsidP="00331CA4">
      <w:pPr>
        <w:pStyle w:val="BodyText"/>
        <w:numPr>
          <w:ilvl w:val="0"/>
          <w:numId w:val="3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It requires explicit teaching beyond spoken language.</w:t>
      </w:r>
    </w:p>
    <w:p w14:paraId="0C20095C" w14:textId="77777777" w:rsidR="00331CA4" w:rsidRPr="00331CA4" w:rsidRDefault="00331CA4" w:rsidP="00331CA4">
      <w:pPr>
        <w:pStyle w:val="BodyText"/>
        <w:numPr>
          <w:ilvl w:val="0"/>
          <w:numId w:val="3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Composition and transcription (handwriting + spelling) are foundational.</w:t>
      </w:r>
    </w:p>
    <w:p w14:paraId="4413BE14" w14:textId="77777777" w:rsidR="00331CA4" w:rsidRPr="00331CA4" w:rsidRDefault="00331CA4" w:rsidP="00331CA4">
      <w:pPr>
        <w:pStyle w:val="BodyText"/>
        <w:numPr>
          <w:ilvl w:val="0"/>
          <w:numId w:val="3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Motivation and self-belief are critical for writing success.</w:t>
      </w:r>
    </w:p>
    <w:p w14:paraId="446FCCD2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2. Reception Year</w:t>
      </w:r>
    </w:p>
    <w:p w14:paraId="1011800A" w14:textId="77777777" w:rsidR="00331CA4" w:rsidRPr="00331CA4" w:rsidRDefault="00331CA4" w:rsidP="00331CA4">
      <w:pPr>
        <w:pStyle w:val="BodyText"/>
        <w:numPr>
          <w:ilvl w:val="0"/>
          <w:numId w:val="4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Focus on </w:t>
      </w:r>
      <w:r w:rsidRPr="00331CA4">
        <w:rPr>
          <w:rFonts w:ascii="Nunito Sans" w:hAnsi="Nunito Sans"/>
          <w:b/>
          <w:bCs/>
        </w:rPr>
        <w:t>oral composition</w:t>
      </w:r>
      <w:r w:rsidRPr="00331CA4">
        <w:rPr>
          <w:rFonts w:ascii="Nunito Sans" w:hAnsi="Nunito Sans"/>
        </w:rPr>
        <w:t xml:space="preserve">, </w:t>
      </w:r>
      <w:r w:rsidRPr="00331CA4">
        <w:rPr>
          <w:rFonts w:ascii="Nunito Sans" w:hAnsi="Nunito Sans"/>
          <w:b/>
          <w:bCs/>
        </w:rPr>
        <w:t>phonics</w:t>
      </w:r>
      <w:r w:rsidRPr="00331CA4">
        <w:rPr>
          <w:rFonts w:ascii="Nunito Sans" w:hAnsi="Nunito Sans"/>
        </w:rPr>
        <w:t xml:space="preserve">, and </w:t>
      </w:r>
      <w:r w:rsidRPr="00331CA4">
        <w:rPr>
          <w:rFonts w:ascii="Nunito Sans" w:hAnsi="Nunito Sans"/>
          <w:b/>
          <w:bCs/>
        </w:rPr>
        <w:t>handwriting</w:t>
      </w:r>
      <w:r w:rsidRPr="00331CA4">
        <w:rPr>
          <w:rFonts w:ascii="Nunito Sans" w:hAnsi="Nunito Sans"/>
        </w:rPr>
        <w:t>.</w:t>
      </w:r>
    </w:p>
    <w:p w14:paraId="0A69BAC1" w14:textId="77777777" w:rsidR="00331CA4" w:rsidRPr="00331CA4" w:rsidRDefault="00331CA4" w:rsidP="00331CA4">
      <w:pPr>
        <w:pStyle w:val="BodyText"/>
        <w:numPr>
          <w:ilvl w:val="0"/>
          <w:numId w:val="4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Children should not be expected to produce extended writing.</w:t>
      </w:r>
    </w:p>
    <w:p w14:paraId="152E3DA8" w14:textId="77777777" w:rsidR="00331CA4" w:rsidRPr="00331CA4" w:rsidRDefault="00331CA4" w:rsidP="00331CA4">
      <w:pPr>
        <w:pStyle w:val="BodyText"/>
        <w:numPr>
          <w:ilvl w:val="0"/>
          <w:numId w:val="4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Dictation and motor skill development are emphasized.</w:t>
      </w:r>
    </w:p>
    <w:p w14:paraId="2A000AB5" w14:textId="77777777" w:rsidR="00331CA4" w:rsidRPr="00331CA4" w:rsidRDefault="00331CA4" w:rsidP="00331CA4">
      <w:pPr>
        <w:pStyle w:val="BodyText"/>
        <w:numPr>
          <w:ilvl w:val="0"/>
          <w:numId w:val="4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Judgements against the </w:t>
      </w:r>
      <w:r w:rsidRPr="00331CA4">
        <w:rPr>
          <w:rFonts w:ascii="Nunito Sans" w:hAnsi="Nunito Sans"/>
          <w:b/>
          <w:bCs/>
        </w:rPr>
        <w:t>early learning goal for Writing</w:t>
      </w:r>
      <w:r w:rsidRPr="00331CA4">
        <w:rPr>
          <w:rFonts w:ascii="Nunito Sans" w:hAnsi="Nunito Sans"/>
        </w:rPr>
        <w:t xml:space="preserve"> focus on legibility, phonics-based spelling, and simple sentence construction.</w:t>
      </w:r>
    </w:p>
    <w:p w14:paraId="5EA78FD4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3. Transcription: Handwriting and Spelling</w:t>
      </w:r>
    </w:p>
    <w:p w14:paraId="5D459C31" w14:textId="77777777" w:rsidR="00331CA4" w:rsidRPr="00331CA4" w:rsidRDefault="00331CA4" w:rsidP="00331CA4">
      <w:pPr>
        <w:pStyle w:val="BodyText"/>
        <w:numPr>
          <w:ilvl w:val="0"/>
          <w:numId w:val="5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Handwriting must be taught </w:t>
      </w:r>
      <w:r w:rsidRPr="00331CA4">
        <w:rPr>
          <w:rFonts w:ascii="Nunito Sans" w:hAnsi="Nunito Sans"/>
          <w:b/>
          <w:bCs/>
        </w:rPr>
        <w:t>explicitly and regularly</w:t>
      </w:r>
      <w:r w:rsidRPr="00331CA4">
        <w:rPr>
          <w:rFonts w:ascii="Nunito Sans" w:hAnsi="Nunito Sans"/>
        </w:rPr>
        <w:t>.</w:t>
      </w:r>
    </w:p>
    <w:p w14:paraId="5285FE62" w14:textId="77777777" w:rsidR="00331CA4" w:rsidRPr="00331CA4" w:rsidRDefault="00331CA4" w:rsidP="00331CA4">
      <w:pPr>
        <w:pStyle w:val="BodyText"/>
        <w:numPr>
          <w:ilvl w:val="0"/>
          <w:numId w:val="5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Spelling instruction should follow </w:t>
      </w:r>
      <w:r w:rsidRPr="00331CA4">
        <w:rPr>
          <w:rFonts w:ascii="Nunito Sans" w:hAnsi="Nunito Sans"/>
          <w:b/>
          <w:bCs/>
        </w:rPr>
        <w:t>phonics progression</w:t>
      </w:r>
      <w:r w:rsidRPr="00331CA4">
        <w:rPr>
          <w:rFonts w:ascii="Nunito Sans" w:hAnsi="Nunito Sans"/>
        </w:rPr>
        <w:t xml:space="preserve">, and later include </w:t>
      </w:r>
      <w:r w:rsidRPr="00331CA4">
        <w:rPr>
          <w:rFonts w:ascii="Nunito Sans" w:hAnsi="Nunito Sans"/>
          <w:b/>
          <w:bCs/>
        </w:rPr>
        <w:t>orthography</w:t>
      </w:r>
      <w:r w:rsidRPr="00331CA4">
        <w:rPr>
          <w:rFonts w:ascii="Nunito Sans" w:hAnsi="Nunito Sans"/>
        </w:rPr>
        <w:t xml:space="preserve">, </w:t>
      </w:r>
      <w:r w:rsidRPr="00331CA4">
        <w:rPr>
          <w:rFonts w:ascii="Nunito Sans" w:hAnsi="Nunito Sans"/>
          <w:b/>
          <w:bCs/>
        </w:rPr>
        <w:t>morphology</w:t>
      </w:r>
      <w:r w:rsidRPr="00331CA4">
        <w:rPr>
          <w:rFonts w:ascii="Nunito Sans" w:hAnsi="Nunito Sans"/>
        </w:rPr>
        <w:t xml:space="preserve">, and </w:t>
      </w:r>
      <w:r w:rsidRPr="00331CA4">
        <w:rPr>
          <w:rFonts w:ascii="Nunito Sans" w:hAnsi="Nunito Sans"/>
          <w:b/>
          <w:bCs/>
        </w:rPr>
        <w:t>etymology</w:t>
      </w:r>
      <w:r w:rsidRPr="00331CA4">
        <w:rPr>
          <w:rFonts w:ascii="Nunito Sans" w:hAnsi="Nunito Sans"/>
        </w:rPr>
        <w:t>.</w:t>
      </w:r>
    </w:p>
    <w:p w14:paraId="797CD5BB" w14:textId="77777777" w:rsidR="00331CA4" w:rsidRPr="00331CA4" w:rsidRDefault="00331CA4" w:rsidP="00331CA4">
      <w:pPr>
        <w:pStyle w:val="BodyText"/>
        <w:numPr>
          <w:ilvl w:val="0"/>
          <w:numId w:val="5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Dictation is a key strategy for reinforcing transcription skills.</w:t>
      </w:r>
    </w:p>
    <w:p w14:paraId="452068DC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4. Composition</w:t>
      </w:r>
    </w:p>
    <w:p w14:paraId="07639891" w14:textId="77777777" w:rsidR="00331CA4" w:rsidRPr="00331CA4" w:rsidRDefault="00331CA4" w:rsidP="00331CA4">
      <w:pPr>
        <w:pStyle w:val="BodyText"/>
        <w:numPr>
          <w:ilvl w:val="0"/>
          <w:numId w:val="6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Teaching writing begins with mastering </w:t>
      </w:r>
      <w:r w:rsidRPr="00331CA4">
        <w:rPr>
          <w:rFonts w:ascii="Nunito Sans" w:hAnsi="Nunito Sans"/>
          <w:b/>
          <w:bCs/>
        </w:rPr>
        <w:t>sentence structure</w:t>
      </w:r>
      <w:r w:rsidRPr="00331CA4">
        <w:rPr>
          <w:rFonts w:ascii="Nunito Sans" w:hAnsi="Nunito Sans"/>
        </w:rPr>
        <w:t>.</w:t>
      </w:r>
    </w:p>
    <w:p w14:paraId="12E0A195" w14:textId="77777777" w:rsidR="00331CA4" w:rsidRPr="00331CA4" w:rsidRDefault="00331CA4" w:rsidP="00331CA4">
      <w:pPr>
        <w:pStyle w:val="BodyText"/>
        <w:numPr>
          <w:ilvl w:val="0"/>
          <w:numId w:val="6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Oral composition reduces cognitive load and supports fluency.</w:t>
      </w:r>
    </w:p>
    <w:p w14:paraId="4EA39FBA" w14:textId="1905E15E" w:rsidR="00331CA4" w:rsidRPr="00331CA4" w:rsidRDefault="00331CA4" w:rsidP="00331CA4">
      <w:pPr>
        <w:pStyle w:val="BodyText"/>
        <w:numPr>
          <w:ilvl w:val="0"/>
          <w:numId w:val="6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The </w:t>
      </w:r>
      <w:r w:rsidRPr="00331CA4">
        <w:rPr>
          <w:rFonts w:ascii="Nunito Sans" w:hAnsi="Nunito Sans"/>
          <w:b/>
          <w:bCs/>
        </w:rPr>
        <w:t>writing process</w:t>
      </w:r>
      <w:r w:rsidRPr="00331CA4">
        <w:rPr>
          <w:rFonts w:ascii="Nunito Sans" w:hAnsi="Nunito Sans"/>
        </w:rPr>
        <w:t xml:space="preserve"> includes planning, drafting, revising, editing, and sharing.</w:t>
      </w:r>
    </w:p>
    <w:p w14:paraId="76339129" w14:textId="77777777" w:rsidR="00331CA4" w:rsidRPr="00331CA4" w:rsidRDefault="00331CA4" w:rsidP="00331CA4">
      <w:pPr>
        <w:pStyle w:val="BodyText"/>
        <w:numPr>
          <w:ilvl w:val="0"/>
          <w:numId w:val="6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Vocabulary instruction and grammar must be contextual and purposeful.</w:t>
      </w:r>
    </w:p>
    <w:p w14:paraId="3354D5FF" w14:textId="77777777" w:rsidR="00331CA4" w:rsidRPr="00331CA4" w:rsidRDefault="00331CA4" w:rsidP="00331CA4">
      <w:pPr>
        <w:pStyle w:val="BodyText"/>
        <w:numPr>
          <w:ilvl w:val="0"/>
          <w:numId w:val="6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Feedback should be </w:t>
      </w:r>
      <w:r w:rsidRPr="00331CA4">
        <w:rPr>
          <w:rFonts w:ascii="Nunito Sans" w:hAnsi="Nunito Sans"/>
          <w:b/>
          <w:bCs/>
        </w:rPr>
        <w:t>timely, specific, and actionable</w:t>
      </w:r>
      <w:r w:rsidRPr="00331CA4">
        <w:rPr>
          <w:rFonts w:ascii="Nunito Sans" w:hAnsi="Nunito Sans"/>
        </w:rPr>
        <w:t>.</w:t>
      </w:r>
    </w:p>
    <w:p w14:paraId="4CAC548D" w14:textId="77777777" w:rsidR="00331CA4" w:rsidRDefault="00331CA4">
      <w:pPr>
        <w:rPr>
          <w:rFonts w:ascii="Nunito Sans" w:eastAsia="Times New Roman" w:hAnsi="Nunito Sans"/>
          <w:b/>
          <w:iCs w:val="0"/>
          <w:lang w:eastAsia="en-GB"/>
        </w:rPr>
      </w:pPr>
      <w:r>
        <w:rPr>
          <w:rFonts w:ascii="Nunito Sans" w:hAnsi="Nunito Sans"/>
          <w:b/>
          <w:bCs w:val="0"/>
        </w:rPr>
        <w:br w:type="page"/>
      </w:r>
    </w:p>
    <w:p w14:paraId="58A2541A" w14:textId="11A39C35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lastRenderedPageBreak/>
        <w:t>5. Supporting Pupils Who Struggle</w:t>
      </w:r>
    </w:p>
    <w:p w14:paraId="668159B0" w14:textId="77777777" w:rsidR="00331CA4" w:rsidRPr="00331CA4" w:rsidRDefault="00331CA4" w:rsidP="00331CA4">
      <w:pPr>
        <w:pStyle w:val="BodyText"/>
        <w:numPr>
          <w:ilvl w:val="0"/>
          <w:numId w:val="7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Early identification and in-class support are vital.</w:t>
      </w:r>
    </w:p>
    <w:p w14:paraId="0B5A9287" w14:textId="77777777" w:rsidR="00331CA4" w:rsidRPr="00331CA4" w:rsidRDefault="00331CA4" w:rsidP="00331CA4">
      <w:pPr>
        <w:pStyle w:val="BodyText"/>
        <w:numPr>
          <w:ilvl w:val="0"/>
          <w:numId w:val="7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Teachers should understand the specific barriers (e.g., motor skills, spelling, language).</w:t>
      </w:r>
    </w:p>
    <w:p w14:paraId="2CB3F380" w14:textId="77777777" w:rsidR="00331CA4" w:rsidRPr="00331CA4" w:rsidRDefault="00331CA4" w:rsidP="00331CA4">
      <w:pPr>
        <w:pStyle w:val="BodyText"/>
        <w:numPr>
          <w:ilvl w:val="0"/>
          <w:numId w:val="7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Collaboration with </w:t>
      </w:r>
      <w:r w:rsidRPr="00331CA4">
        <w:rPr>
          <w:rFonts w:ascii="Nunito Sans" w:hAnsi="Nunito Sans"/>
          <w:b/>
          <w:bCs/>
        </w:rPr>
        <w:t>SENCOs</w:t>
      </w:r>
      <w:r w:rsidRPr="00331CA4">
        <w:rPr>
          <w:rFonts w:ascii="Nunito Sans" w:hAnsi="Nunito Sans"/>
        </w:rPr>
        <w:t xml:space="preserve"> and specialists is encouraged.</w:t>
      </w:r>
    </w:p>
    <w:p w14:paraId="0E9140A8" w14:textId="77777777" w:rsidR="00331CA4" w:rsidRPr="00331CA4" w:rsidRDefault="00331CA4" w:rsidP="00331CA4">
      <w:pPr>
        <w:pStyle w:val="BodyText"/>
        <w:numPr>
          <w:ilvl w:val="0"/>
          <w:numId w:val="7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Strategies include scaffolding, oral rehearsal, and assistive technology.</w:t>
      </w:r>
    </w:p>
    <w:p w14:paraId="756A279F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6. Writing Across the Curriculum</w:t>
      </w:r>
    </w:p>
    <w:p w14:paraId="047F009E" w14:textId="77777777" w:rsidR="00331CA4" w:rsidRPr="00331CA4" w:rsidRDefault="00331CA4" w:rsidP="00331CA4">
      <w:pPr>
        <w:pStyle w:val="BodyText"/>
        <w:numPr>
          <w:ilvl w:val="0"/>
          <w:numId w:val="8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Writing should be integrated into all subjects without detracting from core learning.</w:t>
      </w:r>
    </w:p>
    <w:p w14:paraId="174758A3" w14:textId="77777777" w:rsidR="00331CA4" w:rsidRPr="00331CA4" w:rsidRDefault="00331CA4" w:rsidP="00331CA4">
      <w:pPr>
        <w:pStyle w:val="BodyText"/>
        <w:numPr>
          <w:ilvl w:val="0"/>
          <w:numId w:val="8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Transition to secondary school requires support for pupils with low literacy.</w:t>
      </w:r>
    </w:p>
    <w:p w14:paraId="27201146" w14:textId="77777777" w:rsidR="00331CA4" w:rsidRPr="00331CA4" w:rsidRDefault="00331CA4" w:rsidP="00331CA4">
      <w:pPr>
        <w:pStyle w:val="BodyText"/>
        <w:numPr>
          <w:ilvl w:val="0"/>
          <w:numId w:val="8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Disciplinary literacy</w:t>
      </w:r>
      <w:r w:rsidRPr="00331CA4">
        <w:rPr>
          <w:rFonts w:ascii="Nunito Sans" w:hAnsi="Nunito Sans"/>
        </w:rPr>
        <w:t xml:space="preserve"> is key in secondary education.</w:t>
      </w:r>
    </w:p>
    <w:p w14:paraId="14437CC7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7. Leadership and Management</w:t>
      </w:r>
    </w:p>
    <w:p w14:paraId="7C16A9AB" w14:textId="77777777" w:rsidR="00331CA4" w:rsidRPr="00331CA4" w:rsidRDefault="00331CA4" w:rsidP="00331CA4">
      <w:pPr>
        <w:pStyle w:val="BodyText"/>
        <w:numPr>
          <w:ilvl w:val="0"/>
          <w:numId w:val="9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Headteachers must foster a </w:t>
      </w:r>
      <w:r w:rsidRPr="00331CA4">
        <w:rPr>
          <w:rFonts w:ascii="Nunito Sans" w:hAnsi="Nunito Sans"/>
          <w:b/>
          <w:bCs/>
        </w:rPr>
        <w:t>positive writing culture</w:t>
      </w:r>
      <w:r w:rsidRPr="00331CA4">
        <w:rPr>
          <w:rFonts w:ascii="Nunito Sans" w:hAnsi="Nunito Sans"/>
        </w:rPr>
        <w:t>.</w:t>
      </w:r>
    </w:p>
    <w:p w14:paraId="0C77FAFD" w14:textId="77777777" w:rsidR="00331CA4" w:rsidRPr="00331CA4" w:rsidRDefault="00331CA4" w:rsidP="00331CA4">
      <w:pPr>
        <w:pStyle w:val="BodyText"/>
        <w:numPr>
          <w:ilvl w:val="0"/>
          <w:numId w:val="9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Literacy leads should be trained and supported (e.g., via </w:t>
      </w:r>
      <w:r w:rsidRPr="00331CA4">
        <w:rPr>
          <w:rFonts w:ascii="Nunito Sans" w:hAnsi="Nunito Sans"/>
          <w:b/>
          <w:bCs/>
        </w:rPr>
        <w:t>NPQLL</w:t>
      </w:r>
      <w:r w:rsidRPr="00331CA4">
        <w:rPr>
          <w:rFonts w:ascii="Nunito Sans" w:hAnsi="Nunito Sans"/>
        </w:rPr>
        <w:t>).</w:t>
      </w:r>
    </w:p>
    <w:p w14:paraId="71E464BE" w14:textId="77777777" w:rsidR="00331CA4" w:rsidRPr="00331CA4" w:rsidRDefault="00331CA4" w:rsidP="00331CA4">
      <w:pPr>
        <w:pStyle w:val="BodyText"/>
        <w:numPr>
          <w:ilvl w:val="0"/>
          <w:numId w:val="9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Curriculum should be </w:t>
      </w:r>
      <w:r w:rsidRPr="00331CA4">
        <w:rPr>
          <w:rFonts w:ascii="Nunito Sans" w:hAnsi="Nunito Sans"/>
          <w:b/>
          <w:bCs/>
        </w:rPr>
        <w:t>well-sequenced</w:t>
      </w:r>
      <w:r w:rsidRPr="00331CA4">
        <w:rPr>
          <w:rFonts w:ascii="Nunito Sans" w:hAnsi="Nunito Sans"/>
        </w:rPr>
        <w:t>, starting with transcription and building toward composition.</w:t>
      </w:r>
    </w:p>
    <w:p w14:paraId="61F9CD00" w14:textId="77777777" w:rsidR="00331CA4" w:rsidRPr="00331CA4" w:rsidRDefault="00331CA4" w:rsidP="00331CA4">
      <w:pPr>
        <w:pStyle w:val="BodyText"/>
        <w:numPr>
          <w:ilvl w:val="0"/>
          <w:numId w:val="9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Assessment should be </w:t>
      </w:r>
      <w:r w:rsidRPr="00331CA4">
        <w:rPr>
          <w:rFonts w:ascii="Nunito Sans" w:hAnsi="Nunito Sans"/>
          <w:b/>
          <w:bCs/>
        </w:rPr>
        <w:t>formative and summative</w:t>
      </w:r>
      <w:r w:rsidRPr="00331CA4">
        <w:rPr>
          <w:rFonts w:ascii="Nunito Sans" w:hAnsi="Nunito Sans"/>
        </w:rPr>
        <w:t>, but not burdensome.</w:t>
      </w:r>
    </w:p>
    <w:p w14:paraId="473A5C21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8. National Assessments</w:t>
      </w:r>
    </w:p>
    <w:p w14:paraId="24ED43BE" w14:textId="77777777" w:rsidR="00331CA4" w:rsidRPr="00331CA4" w:rsidRDefault="00331CA4" w:rsidP="00331CA4">
      <w:pPr>
        <w:pStyle w:val="BodyText"/>
        <w:numPr>
          <w:ilvl w:val="0"/>
          <w:numId w:val="10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Overview of EYFSP, Phonics Screening Check, KS1 (optional), and KS2 assessments.</w:t>
      </w:r>
    </w:p>
    <w:p w14:paraId="3D4C9D20" w14:textId="77777777" w:rsidR="00331CA4" w:rsidRPr="00331CA4" w:rsidRDefault="00331CA4" w:rsidP="00331CA4">
      <w:pPr>
        <w:pStyle w:val="BodyText"/>
        <w:numPr>
          <w:ilvl w:val="0"/>
          <w:numId w:val="10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Emphasis on </w:t>
      </w:r>
      <w:r w:rsidRPr="00331CA4">
        <w:rPr>
          <w:rFonts w:ascii="Nunito Sans" w:hAnsi="Nunito Sans"/>
          <w:b/>
          <w:bCs/>
        </w:rPr>
        <w:t>teacher assessment</w:t>
      </w:r>
      <w:r w:rsidRPr="00331CA4">
        <w:rPr>
          <w:rFonts w:ascii="Nunito Sans" w:hAnsi="Nunito Sans"/>
        </w:rPr>
        <w:t xml:space="preserve"> and </w:t>
      </w:r>
      <w:r w:rsidRPr="00331CA4">
        <w:rPr>
          <w:rFonts w:ascii="Nunito Sans" w:hAnsi="Nunito Sans"/>
          <w:b/>
          <w:bCs/>
        </w:rPr>
        <w:t>moderation</w:t>
      </w:r>
      <w:r w:rsidRPr="00331CA4">
        <w:rPr>
          <w:rFonts w:ascii="Nunito Sans" w:hAnsi="Nunito Sans"/>
        </w:rPr>
        <w:t>.</w:t>
      </w:r>
    </w:p>
    <w:p w14:paraId="3F34AAF1" w14:textId="77777777" w:rsidR="00331CA4" w:rsidRPr="00331CA4" w:rsidRDefault="00331CA4" w:rsidP="00331CA4">
      <w:pPr>
        <w:pStyle w:val="BodyText"/>
        <w:numPr>
          <w:ilvl w:val="0"/>
          <w:numId w:val="10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>Automated Writing Evaluation (AWE) tools can support feedback but should not replace teacher judgment.</w:t>
      </w:r>
    </w:p>
    <w:p w14:paraId="628EC2FB" w14:textId="77777777" w:rsidR="00331CA4" w:rsidRPr="00331CA4" w:rsidRDefault="0033455B" w:rsidP="00331CA4">
      <w:pPr>
        <w:pStyle w:val="BodyText"/>
        <w:jc w:val="both"/>
        <w:rPr>
          <w:rFonts w:ascii="Nunito Sans" w:hAnsi="Nunito Sans"/>
        </w:rPr>
      </w:pPr>
      <w:r>
        <w:rPr>
          <w:rFonts w:ascii="Nunito Sans" w:hAnsi="Nunito Sans"/>
        </w:rPr>
        <w:pict w14:anchorId="52B9B3D4">
          <v:rect id="_x0000_i1027" style="width:0;height:1.5pt" o:hralign="center" o:hrstd="t" o:hr="t" fillcolor="#a0a0a0" stroked="f"/>
        </w:pict>
      </w:r>
    </w:p>
    <w:p w14:paraId="19DAF273" w14:textId="77777777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t>Appendices and Practical Tools</w:t>
      </w:r>
    </w:p>
    <w:p w14:paraId="7F93E264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Handwriting guidance</w:t>
      </w:r>
      <w:r w:rsidRPr="00331CA4">
        <w:rPr>
          <w:rFonts w:ascii="Nunito Sans" w:hAnsi="Nunito Sans"/>
        </w:rPr>
        <w:t>: posture, grip, letter families, joins.</w:t>
      </w:r>
    </w:p>
    <w:p w14:paraId="67611481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Morpheme matrices</w:t>
      </w:r>
      <w:r w:rsidRPr="00331CA4">
        <w:rPr>
          <w:rFonts w:ascii="Nunito Sans" w:hAnsi="Nunito Sans"/>
        </w:rPr>
        <w:t>: for teaching morphology and spelling.</w:t>
      </w:r>
    </w:p>
    <w:p w14:paraId="125C9493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Model texts</w:t>
      </w:r>
      <w:r w:rsidRPr="00331CA4">
        <w:rPr>
          <w:rFonts w:ascii="Nunito Sans" w:hAnsi="Nunito Sans"/>
        </w:rPr>
        <w:t>: teacher-written, mentor texts, WAGOLLs.</w:t>
      </w:r>
    </w:p>
    <w:p w14:paraId="04BC7A9C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Sentence structure activities</w:t>
      </w:r>
      <w:r w:rsidRPr="00331CA4">
        <w:rPr>
          <w:rFonts w:ascii="Nunito Sans" w:hAnsi="Nunito Sans"/>
        </w:rPr>
        <w:t>: combining, correcting, expanding.</w:t>
      </w:r>
    </w:p>
    <w:p w14:paraId="4DB876C8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Writing process progression</w:t>
      </w:r>
      <w:r w:rsidRPr="00331CA4">
        <w:rPr>
          <w:rFonts w:ascii="Nunito Sans" w:hAnsi="Nunito Sans"/>
        </w:rPr>
        <w:t>: examples across year groups.</w:t>
      </w:r>
    </w:p>
    <w:p w14:paraId="38B1B4C4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Strategies for reader awareness</w:t>
      </w:r>
      <w:r w:rsidRPr="00331CA4">
        <w:rPr>
          <w:rFonts w:ascii="Nunito Sans" w:hAnsi="Nunito Sans"/>
        </w:rPr>
        <w:t>: feedback, peer review.</w:t>
      </w:r>
    </w:p>
    <w:p w14:paraId="1470A271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Planning models</w:t>
      </w:r>
      <w:r w:rsidRPr="00331CA4">
        <w:rPr>
          <w:rFonts w:ascii="Nunito Sans" w:hAnsi="Nunito Sans"/>
        </w:rPr>
        <w:t>: story mountain, burger/temple models.</w:t>
      </w:r>
    </w:p>
    <w:p w14:paraId="4014775B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Cohesion tools</w:t>
      </w:r>
      <w:r w:rsidRPr="00331CA4">
        <w:rPr>
          <w:rFonts w:ascii="Nunito Sans" w:hAnsi="Nunito Sans"/>
        </w:rPr>
        <w:t>: adverbials, conjunctions, lexical cohesion.</w:t>
      </w:r>
    </w:p>
    <w:p w14:paraId="6C33C1A3" w14:textId="77777777" w:rsidR="00331CA4" w:rsidRPr="00331CA4" w:rsidRDefault="00331CA4" w:rsidP="00331CA4">
      <w:pPr>
        <w:pStyle w:val="BodyText"/>
        <w:numPr>
          <w:ilvl w:val="0"/>
          <w:numId w:val="11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  <w:b/>
          <w:bCs/>
        </w:rPr>
        <w:t>Glossary</w:t>
      </w:r>
      <w:r w:rsidRPr="00331CA4">
        <w:rPr>
          <w:rFonts w:ascii="Nunito Sans" w:hAnsi="Nunito Sans"/>
        </w:rPr>
        <w:t>: definitions of key writing terms.</w:t>
      </w:r>
    </w:p>
    <w:p w14:paraId="1898736B" w14:textId="77777777" w:rsidR="00331CA4" w:rsidRPr="00331CA4" w:rsidRDefault="0033455B" w:rsidP="00331CA4">
      <w:pPr>
        <w:pStyle w:val="BodyText"/>
        <w:jc w:val="both"/>
        <w:rPr>
          <w:rFonts w:ascii="Nunito Sans" w:hAnsi="Nunito Sans"/>
        </w:rPr>
      </w:pPr>
      <w:r>
        <w:rPr>
          <w:rFonts w:ascii="Nunito Sans" w:hAnsi="Nunito Sans"/>
        </w:rPr>
        <w:pict w14:anchorId="3934B3CB">
          <v:rect id="_x0000_i1028" style="width:0;height:1.5pt" o:hralign="center" o:hrstd="t" o:hr="t" fillcolor="#a0a0a0" stroked="f"/>
        </w:pict>
      </w:r>
    </w:p>
    <w:p w14:paraId="4EA81937" w14:textId="77777777" w:rsidR="00ED2B07" w:rsidRDefault="00ED2B07">
      <w:pPr>
        <w:rPr>
          <w:rFonts w:ascii="Nunito Sans" w:eastAsia="Times New Roman" w:hAnsi="Nunito Sans"/>
          <w:b/>
          <w:iCs w:val="0"/>
          <w:lang w:eastAsia="en-GB"/>
        </w:rPr>
      </w:pPr>
      <w:r>
        <w:rPr>
          <w:rFonts w:ascii="Nunito Sans" w:hAnsi="Nunito Sans"/>
          <w:b/>
          <w:bCs w:val="0"/>
        </w:rPr>
        <w:br w:type="page"/>
      </w:r>
    </w:p>
    <w:p w14:paraId="2B90843F" w14:textId="5F760B9B" w:rsidR="00331CA4" w:rsidRPr="00331CA4" w:rsidRDefault="00331CA4" w:rsidP="00331CA4">
      <w:pPr>
        <w:pStyle w:val="BodyText"/>
        <w:jc w:val="both"/>
        <w:rPr>
          <w:rFonts w:ascii="Nunito Sans" w:hAnsi="Nunito Sans"/>
          <w:b/>
          <w:bCs/>
        </w:rPr>
      </w:pPr>
      <w:r w:rsidRPr="00331CA4">
        <w:rPr>
          <w:rFonts w:ascii="Nunito Sans" w:hAnsi="Nunito Sans"/>
          <w:b/>
          <w:bCs/>
        </w:rPr>
        <w:lastRenderedPageBreak/>
        <w:t>Final Notes</w:t>
      </w:r>
    </w:p>
    <w:p w14:paraId="622E3D73" w14:textId="77777777" w:rsidR="00331CA4" w:rsidRPr="00331CA4" w:rsidRDefault="00331CA4" w:rsidP="00331CA4">
      <w:pPr>
        <w:pStyle w:val="BodyText"/>
        <w:numPr>
          <w:ilvl w:val="0"/>
          <w:numId w:val="12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The framework is </w:t>
      </w:r>
      <w:r w:rsidRPr="00331CA4">
        <w:rPr>
          <w:rFonts w:ascii="Nunito Sans" w:hAnsi="Nunito Sans"/>
          <w:b/>
          <w:bCs/>
        </w:rPr>
        <w:t>evidence-based</w:t>
      </w:r>
      <w:r w:rsidRPr="00331CA4">
        <w:rPr>
          <w:rFonts w:ascii="Nunito Sans" w:hAnsi="Nunito Sans"/>
        </w:rPr>
        <w:t>, drawing on research, expert input, and classroom practice.</w:t>
      </w:r>
    </w:p>
    <w:p w14:paraId="22F85971" w14:textId="77777777" w:rsidR="00331CA4" w:rsidRPr="00331CA4" w:rsidRDefault="00331CA4" w:rsidP="00331CA4">
      <w:pPr>
        <w:pStyle w:val="BodyText"/>
        <w:numPr>
          <w:ilvl w:val="0"/>
          <w:numId w:val="12"/>
        </w:numPr>
        <w:jc w:val="both"/>
        <w:rPr>
          <w:rFonts w:ascii="Nunito Sans" w:hAnsi="Nunito Sans"/>
        </w:rPr>
      </w:pPr>
      <w:r w:rsidRPr="00331CA4">
        <w:rPr>
          <w:rFonts w:ascii="Nunito Sans" w:hAnsi="Nunito Sans"/>
        </w:rPr>
        <w:t xml:space="preserve">It aims to </w:t>
      </w:r>
      <w:r w:rsidRPr="00331CA4">
        <w:rPr>
          <w:rFonts w:ascii="Nunito Sans" w:hAnsi="Nunito Sans"/>
          <w:b/>
          <w:bCs/>
        </w:rPr>
        <w:t>raise standards</w:t>
      </w:r>
      <w:r w:rsidRPr="00331CA4">
        <w:rPr>
          <w:rFonts w:ascii="Nunito Sans" w:hAnsi="Nunito Sans"/>
        </w:rPr>
        <w:t xml:space="preserve">, </w:t>
      </w:r>
      <w:r w:rsidRPr="00331CA4">
        <w:rPr>
          <w:rFonts w:ascii="Nunito Sans" w:hAnsi="Nunito Sans"/>
          <w:b/>
          <w:bCs/>
        </w:rPr>
        <w:t>close gaps</w:t>
      </w:r>
      <w:r w:rsidRPr="00331CA4">
        <w:rPr>
          <w:rFonts w:ascii="Nunito Sans" w:hAnsi="Nunito Sans"/>
        </w:rPr>
        <w:t xml:space="preserve">, and </w:t>
      </w:r>
      <w:r w:rsidRPr="00331CA4">
        <w:rPr>
          <w:rFonts w:ascii="Nunito Sans" w:hAnsi="Nunito Sans"/>
          <w:b/>
          <w:bCs/>
        </w:rPr>
        <w:t>empower teachers</w:t>
      </w:r>
      <w:r w:rsidRPr="00331CA4">
        <w:rPr>
          <w:rFonts w:ascii="Nunito Sans" w:hAnsi="Nunito Sans"/>
        </w:rPr>
        <w:t xml:space="preserve"> to deliver high-quality writing instruction.</w:t>
      </w:r>
    </w:p>
    <w:p w14:paraId="75DCEB56" w14:textId="749E784A" w:rsidR="003A1B39" w:rsidRPr="00EC1150" w:rsidRDefault="0033455B" w:rsidP="00EC1150">
      <w:pPr>
        <w:pStyle w:val="BodyText"/>
        <w:jc w:val="both"/>
        <w:rPr>
          <w:rFonts w:ascii="Nunito Sans" w:hAnsi="Nunito Sans"/>
        </w:rPr>
      </w:pPr>
      <w:r>
        <w:rPr>
          <w:rFonts w:ascii="Nunito Sans" w:hAnsi="Nunito Sans"/>
        </w:rPr>
        <w:pict w14:anchorId="35E23C2D">
          <v:rect id="_x0000_i1029" style="width:0;height:1.5pt" o:hralign="center" o:hrstd="t" o:hr="t" fillcolor="#a0a0a0" stroked="f"/>
        </w:pict>
      </w:r>
    </w:p>
    <w:sectPr w:rsidR="003A1B39" w:rsidRPr="00EC1150" w:rsidSect="00756FB7"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1F42F" w14:textId="77777777" w:rsidR="00C430E6" w:rsidRPr="00756FB7" w:rsidRDefault="00C430E6" w:rsidP="00756FB7">
      <w:r w:rsidRPr="00756FB7">
        <w:separator/>
      </w:r>
    </w:p>
  </w:endnote>
  <w:endnote w:type="continuationSeparator" w:id="0">
    <w:p w14:paraId="3D08D168" w14:textId="77777777" w:rsidR="00C430E6" w:rsidRPr="00756FB7" w:rsidRDefault="00C430E6" w:rsidP="00756FB7">
      <w:r w:rsidRPr="00756F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32902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8B0AA2" w14:textId="77777777" w:rsidR="00756FB7" w:rsidRPr="00756FB7" w:rsidRDefault="00756FB7" w:rsidP="00AA68B9">
        <w:pPr>
          <w:pStyle w:val="Footer"/>
          <w:framePr w:wrap="none" w:vAnchor="text" w:hAnchor="margin" w:xAlign="right" w:y="1"/>
          <w:rPr>
            <w:rStyle w:val="PageNumber"/>
          </w:rPr>
        </w:pPr>
        <w:r w:rsidRPr="00756FB7">
          <w:rPr>
            <w:rStyle w:val="PageNumber"/>
          </w:rPr>
          <w:fldChar w:fldCharType="begin"/>
        </w:r>
        <w:r w:rsidRPr="00756FB7">
          <w:rPr>
            <w:rStyle w:val="PageNumber"/>
          </w:rPr>
          <w:instrText xml:space="preserve"> PAGE </w:instrText>
        </w:r>
        <w:r w:rsidRPr="00756FB7">
          <w:rPr>
            <w:rStyle w:val="PageNumber"/>
          </w:rPr>
          <w:fldChar w:fldCharType="separate"/>
        </w:r>
        <w:r w:rsidRPr="00756FB7">
          <w:rPr>
            <w:rStyle w:val="PageNumber"/>
            <w:noProof/>
          </w:rPr>
          <w:t>1</w:t>
        </w:r>
        <w:r w:rsidRPr="00756FB7">
          <w:rPr>
            <w:rStyle w:val="PageNumber"/>
          </w:rPr>
          <w:fldChar w:fldCharType="end"/>
        </w:r>
      </w:p>
    </w:sdtContent>
  </w:sdt>
  <w:p w14:paraId="0A23DCEB" w14:textId="77777777" w:rsidR="00756FB7" w:rsidRPr="00756FB7" w:rsidRDefault="00756FB7" w:rsidP="00756F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820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A6AB9" w14:textId="6EF4E69C" w:rsidR="00EA56B0" w:rsidRDefault="00EA56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61F43D" w14:textId="77777777" w:rsidR="00EA56B0" w:rsidRDefault="00EA5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4553" w14:textId="77777777" w:rsidR="00C430E6" w:rsidRPr="00756FB7" w:rsidRDefault="00C430E6" w:rsidP="00756FB7">
      <w:r w:rsidRPr="00756FB7">
        <w:separator/>
      </w:r>
    </w:p>
  </w:footnote>
  <w:footnote w:type="continuationSeparator" w:id="0">
    <w:p w14:paraId="5C7692E9" w14:textId="77777777" w:rsidR="00C430E6" w:rsidRPr="00756FB7" w:rsidRDefault="00C430E6" w:rsidP="00756FB7">
      <w:r w:rsidRPr="00756F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91F3" w14:textId="37B3548B" w:rsidR="00EA56B0" w:rsidRPr="00EA56B0" w:rsidRDefault="00EA56B0" w:rsidP="00EA56B0">
    <w:pPr>
      <w:pStyle w:val="Header"/>
      <w:jc w:val="center"/>
      <w:rPr>
        <w:rFonts w:ascii="Calibri" w:hAnsi="Calibri" w:cs="Calibri"/>
        <w:b/>
        <w:color w:val="034E69" w:themeColor="text2"/>
        <w:sz w:val="28"/>
      </w:rPr>
    </w:pPr>
    <w:r>
      <w:rPr>
        <w:rFonts w:ascii="Calibri" w:hAnsi="Calibri" w:cs="Calibri"/>
        <w:b/>
        <w:color w:val="034E69" w:themeColor="text2"/>
        <w:sz w:val="28"/>
      </w:rPr>
      <w:t>S</w:t>
    </w:r>
    <w:r w:rsidRPr="00EA56B0">
      <w:rPr>
        <w:rFonts w:ascii="Calibri" w:hAnsi="Calibri" w:cs="Calibri"/>
        <w:b/>
        <w:color w:val="034E69" w:themeColor="text2"/>
        <w:sz w:val="28"/>
      </w:rPr>
      <w:t xml:space="preserve">ummary of </w:t>
    </w:r>
    <w:r w:rsidRPr="00EA56B0">
      <w:rPr>
        <w:rFonts w:ascii="Calibri" w:hAnsi="Calibri" w:cs="Calibri"/>
        <w:b/>
        <w:i/>
        <w:color w:val="034E69" w:themeColor="text2"/>
        <w:sz w:val="28"/>
      </w:rPr>
      <w:t>The Writing Framework (July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28E"/>
    <w:multiLevelType w:val="multilevel"/>
    <w:tmpl w:val="CB80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4641D"/>
    <w:multiLevelType w:val="multilevel"/>
    <w:tmpl w:val="EE38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F67A9"/>
    <w:multiLevelType w:val="multilevel"/>
    <w:tmpl w:val="F89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108DC"/>
    <w:multiLevelType w:val="multilevel"/>
    <w:tmpl w:val="126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D44A4"/>
    <w:multiLevelType w:val="multilevel"/>
    <w:tmpl w:val="1138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F144C"/>
    <w:multiLevelType w:val="multilevel"/>
    <w:tmpl w:val="D672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D0742"/>
    <w:multiLevelType w:val="multilevel"/>
    <w:tmpl w:val="20E0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F801ED"/>
    <w:multiLevelType w:val="multilevel"/>
    <w:tmpl w:val="374E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AF0627"/>
    <w:multiLevelType w:val="multilevel"/>
    <w:tmpl w:val="828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AD593B"/>
    <w:multiLevelType w:val="multilevel"/>
    <w:tmpl w:val="E2D4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11201F"/>
    <w:multiLevelType w:val="multilevel"/>
    <w:tmpl w:val="D872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105D97"/>
    <w:multiLevelType w:val="multilevel"/>
    <w:tmpl w:val="71CE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1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50"/>
    <w:rsid w:val="00064298"/>
    <w:rsid w:val="00080215"/>
    <w:rsid w:val="0009711A"/>
    <w:rsid w:val="0017559C"/>
    <w:rsid w:val="001A1292"/>
    <w:rsid w:val="001A4038"/>
    <w:rsid w:val="001C1BB2"/>
    <w:rsid w:val="002F287E"/>
    <w:rsid w:val="00331CA4"/>
    <w:rsid w:val="0033455B"/>
    <w:rsid w:val="00366E71"/>
    <w:rsid w:val="00380D4B"/>
    <w:rsid w:val="00395338"/>
    <w:rsid w:val="003A1B39"/>
    <w:rsid w:val="004641A6"/>
    <w:rsid w:val="00522280"/>
    <w:rsid w:val="00522390"/>
    <w:rsid w:val="005A6557"/>
    <w:rsid w:val="005E1C13"/>
    <w:rsid w:val="0061196D"/>
    <w:rsid w:val="00756FB7"/>
    <w:rsid w:val="00771F45"/>
    <w:rsid w:val="007F27D9"/>
    <w:rsid w:val="007F3412"/>
    <w:rsid w:val="008B0F39"/>
    <w:rsid w:val="008C14D5"/>
    <w:rsid w:val="00916B08"/>
    <w:rsid w:val="00947BA0"/>
    <w:rsid w:val="009A5F07"/>
    <w:rsid w:val="009C5954"/>
    <w:rsid w:val="00A17693"/>
    <w:rsid w:val="00AC1176"/>
    <w:rsid w:val="00B045E0"/>
    <w:rsid w:val="00B13412"/>
    <w:rsid w:val="00B6361C"/>
    <w:rsid w:val="00C430E6"/>
    <w:rsid w:val="00CA4DDF"/>
    <w:rsid w:val="00D13DA9"/>
    <w:rsid w:val="00DD2524"/>
    <w:rsid w:val="00E179AE"/>
    <w:rsid w:val="00EA56B0"/>
    <w:rsid w:val="00EC1150"/>
    <w:rsid w:val="00ED2B07"/>
    <w:rsid w:val="00ED4E74"/>
    <w:rsid w:val="00F07F2B"/>
    <w:rsid w:val="00F30732"/>
    <w:rsid w:val="00F3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418A0EF3"/>
  <w15:chartTrackingRefBased/>
  <w15:docId w15:val="{6EFD1859-359B-42A9-9B44-ABC785F3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bCs/>
        <w:iCs/>
        <w:kern w:val="2"/>
        <w:sz w:val="22"/>
        <w:szCs w:val="28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292"/>
  </w:style>
  <w:style w:type="paragraph" w:styleId="Heading1">
    <w:name w:val="heading 1"/>
    <w:basedOn w:val="Normal"/>
    <w:next w:val="Normal"/>
    <w:link w:val="Heading1Char"/>
    <w:uiPriority w:val="9"/>
    <w:qFormat/>
    <w:rsid w:val="001A1292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23666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292"/>
    <w:pPr>
      <w:keepNext/>
      <w:keepLines/>
      <w:spacing w:before="40"/>
      <w:outlineLvl w:val="1"/>
    </w:pPr>
    <w:rPr>
      <w:rFonts w:eastAsiaTheme="majorEastAsia" w:cstheme="majorBidi"/>
      <w:b/>
      <w:color w:val="23666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1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7434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1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23666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1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3666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1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1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150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1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1292"/>
    <w:rPr>
      <w:rFonts w:ascii="Arial" w:eastAsiaTheme="majorEastAsia" w:hAnsi="Arial" w:cstheme="majorBidi"/>
      <w:b/>
      <w:color w:val="23666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045E0"/>
    <w:pPr>
      <w:contextualSpacing/>
    </w:pPr>
    <w:rPr>
      <w:rFonts w:eastAsiaTheme="majorEastAsia" w:cs="Times New Roman (Headings CS)"/>
      <w:b/>
      <w:caps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5E0"/>
    <w:rPr>
      <w:rFonts w:ascii="Arial" w:eastAsiaTheme="majorEastAsia" w:hAnsi="Arial" w:cs="Times New Roman (Headings CS)"/>
      <w:b/>
      <w:caps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C13"/>
    <w:pPr>
      <w:numPr>
        <w:ilvl w:val="1"/>
      </w:numPr>
      <w:spacing w:after="160"/>
    </w:pPr>
    <w:rPr>
      <w:color w:val="5A5A5A" w:themeColor="text1" w:themeTint="A5"/>
      <w:spacing w:val="15"/>
      <w:sz w:val="24"/>
      <w:szCs w:val="22"/>
    </w:rPr>
  </w:style>
  <w:style w:type="paragraph" w:customStyle="1" w:styleId="TableText">
    <w:name w:val="TableText"/>
    <w:basedOn w:val="NoSpacing"/>
    <w:qFormat/>
    <w:rsid w:val="001A1292"/>
    <w:pPr>
      <w:spacing w:before="60" w:after="60"/>
    </w:pPr>
    <w:rPr>
      <w:color w:val="000000" w:themeColor="text1"/>
      <w:szCs w:val="22"/>
    </w:rPr>
  </w:style>
  <w:style w:type="paragraph" w:styleId="NoSpacing">
    <w:name w:val="No Spacing"/>
    <w:aliases w:val="contact us"/>
    <w:link w:val="NoSpacingChar"/>
    <w:uiPriority w:val="1"/>
    <w:qFormat/>
    <w:rsid w:val="001A1292"/>
  </w:style>
  <w:style w:type="paragraph" w:customStyle="1" w:styleId="Default">
    <w:name w:val="Default"/>
    <w:rsid w:val="004641A6"/>
    <w:pPr>
      <w:autoSpaceDE w:val="0"/>
      <w:autoSpaceDN w:val="0"/>
      <w:adjustRightInd w:val="0"/>
      <w:spacing w:after="120"/>
    </w:pPr>
    <w:rPr>
      <w:rFonts w:eastAsia="Times New Roman" w:cs="Arial"/>
      <w:color w:val="034E69" w:themeColor="text2"/>
      <w:lang w:eastAsia="en-GB"/>
    </w:rPr>
  </w:style>
  <w:style w:type="character" w:styleId="PageNumber">
    <w:name w:val="page number"/>
    <w:rsid w:val="001A1292"/>
    <w:rPr>
      <w:rFonts w:ascii="Arial" w:hAnsi="Arial"/>
      <w:b w:val="0"/>
      <w:i w:val="0"/>
      <w:color w:val="034E69" w:themeColor="text2"/>
      <w:sz w:val="18"/>
      <w:szCs w:val="20"/>
    </w:rPr>
  </w:style>
  <w:style w:type="character" w:customStyle="1" w:styleId="NoSpacingChar">
    <w:name w:val="No Spacing Char"/>
    <w:aliases w:val="contact us Char"/>
    <w:basedOn w:val="DefaultParagraphFont"/>
    <w:link w:val="NoSpacing"/>
    <w:uiPriority w:val="1"/>
    <w:rsid w:val="001A1292"/>
    <w:rPr>
      <w:rFonts w:ascii="Arial" w:hAnsi="Arial"/>
      <w:sz w:val="22"/>
    </w:rPr>
  </w:style>
  <w:style w:type="paragraph" w:styleId="BodyText">
    <w:name w:val="Body Text"/>
    <w:basedOn w:val="Normal"/>
    <w:link w:val="BodyTextChar"/>
    <w:rsid w:val="008C14D5"/>
    <w:pPr>
      <w:widowControl w:val="0"/>
      <w:autoSpaceDE w:val="0"/>
      <w:autoSpaceDN w:val="0"/>
      <w:adjustRightInd w:val="0"/>
      <w:spacing w:after="120"/>
    </w:pPr>
    <w:rPr>
      <w:rFonts w:eastAsia="Times New Roman"/>
      <w:bCs w:val="0"/>
      <w:iCs w:val="0"/>
      <w:lang w:eastAsia="en-GB"/>
    </w:rPr>
  </w:style>
  <w:style w:type="character" w:customStyle="1" w:styleId="BodyTextChar">
    <w:name w:val="Body Text Char"/>
    <w:basedOn w:val="DefaultParagraphFont"/>
    <w:link w:val="BodyText"/>
    <w:rsid w:val="008C14D5"/>
    <w:rPr>
      <w:rFonts w:ascii="Arial" w:eastAsia="Times New Roman" w:hAnsi="Arial" w:cs="Times New Roman"/>
      <w:bCs w:val="0"/>
      <w:iCs w:val="0"/>
      <w:sz w:val="22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C1176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C1176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AC1176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C1176"/>
    <w:rPr>
      <w:rFonts w:ascii="Arial" w:hAnsi="Arial"/>
      <w:sz w:val="18"/>
    </w:rPr>
  </w:style>
  <w:style w:type="paragraph" w:customStyle="1" w:styleId="BasicParagraph">
    <w:name w:val="[Basic Paragraph]"/>
    <w:basedOn w:val="Normal"/>
    <w:uiPriority w:val="99"/>
    <w:rsid w:val="00AC1176"/>
    <w:pPr>
      <w:autoSpaceDE w:val="0"/>
      <w:autoSpaceDN w:val="0"/>
      <w:adjustRightInd w:val="0"/>
      <w:spacing w:line="288" w:lineRule="auto"/>
      <w:textAlignment w:val="center"/>
    </w:pPr>
    <w:rPr>
      <w:rFonts w:cs="Arial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1A1292"/>
    <w:rPr>
      <w:rFonts w:ascii="Arial" w:eastAsiaTheme="majorEastAsia" w:hAnsi="Arial" w:cs="Times New Roman (Headings CS)"/>
      <w:b/>
      <w:caps/>
      <w:color w:val="236666" w:themeColor="accent1" w:themeShade="BF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E1C13"/>
    <w:rPr>
      <w:rFonts w:ascii="Arial" w:eastAsiaTheme="minorEastAsia" w:hAnsi="Arial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AC1176"/>
    <w:rPr>
      <w:rFonts w:ascii="Arial" w:hAnsi="Arial"/>
      <w:b w:val="0"/>
      <w:i/>
      <w:iCs w:val="0"/>
      <w:color w:val="404040" w:themeColor="text1" w:themeTint="BF"/>
      <w:sz w:val="22"/>
    </w:rPr>
  </w:style>
  <w:style w:type="character" w:styleId="Emphasis">
    <w:name w:val="Emphasis"/>
    <w:basedOn w:val="DefaultParagraphFont"/>
    <w:uiPriority w:val="20"/>
    <w:qFormat/>
    <w:rsid w:val="00AC1176"/>
    <w:rPr>
      <w:rFonts w:ascii="Arial" w:hAnsi="Arial"/>
      <w:b w:val="0"/>
      <w:i/>
      <w:iCs w:val="0"/>
      <w:sz w:val="22"/>
    </w:rPr>
  </w:style>
  <w:style w:type="character" w:styleId="IntenseEmphasis">
    <w:name w:val="Intense Emphasis"/>
    <w:basedOn w:val="DefaultParagraphFont"/>
    <w:uiPriority w:val="21"/>
    <w:qFormat/>
    <w:rsid w:val="00AC1176"/>
    <w:rPr>
      <w:rFonts w:ascii="Arial" w:hAnsi="Arial"/>
      <w:b/>
      <w:i/>
      <w:iCs w:val="0"/>
      <w:color w:val="2F8989" w:themeColor="accent1"/>
      <w:sz w:val="22"/>
    </w:rPr>
  </w:style>
  <w:style w:type="character" w:styleId="Strong">
    <w:name w:val="Strong"/>
    <w:basedOn w:val="DefaultParagraphFont"/>
    <w:uiPriority w:val="22"/>
    <w:qFormat/>
    <w:rsid w:val="00AC1176"/>
    <w:rPr>
      <w:rFonts w:ascii="Arial" w:hAnsi="Arial"/>
      <w:b/>
      <w:bCs w:val="0"/>
      <w:i w:val="0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C1176"/>
    <w:pPr>
      <w:spacing w:before="200" w:after="160"/>
      <w:ind w:left="864" w:right="864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176"/>
    <w:rPr>
      <w:rFonts w:ascii="Arial" w:hAnsi="Arial"/>
      <w:i/>
      <w:iCs w:val="0"/>
      <w:color w:val="404040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176"/>
    <w:pPr>
      <w:pBdr>
        <w:top w:val="single" w:sz="4" w:space="10" w:color="2F8989" w:themeColor="accent1"/>
        <w:bottom w:val="single" w:sz="4" w:space="10" w:color="2F8989" w:themeColor="accent1"/>
      </w:pBdr>
      <w:spacing w:before="360" w:after="360"/>
      <w:ind w:left="864" w:right="864"/>
      <w:jc w:val="center"/>
    </w:pPr>
    <w:rPr>
      <w:i/>
      <w:iCs w:val="0"/>
      <w:color w:val="2F898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176"/>
    <w:rPr>
      <w:rFonts w:ascii="Arial" w:hAnsi="Arial"/>
      <w:i/>
      <w:iCs w:val="0"/>
      <w:color w:val="2F8989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AC1176"/>
    <w:rPr>
      <w:rFonts w:ascii="Arial" w:hAnsi="Arial"/>
      <w:b w:val="0"/>
      <w:i w:val="0"/>
      <w:smallCaps/>
      <w:color w:val="5A5A5A" w:themeColor="text1" w:themeTint="A5"/>
      <w:sz w:val="22"/>
    </w:rPr>
  </w:style>
  <w:style w:type="character" w:styleId="IntenseReference">
    <w:name w:val="Intense Reference"/>
    <w:basedOn w:val="DefaultParagraphFont"/>
    <w:uiPriority w:val="32"/>
    <w:qFormat/>
    <w:rsid w:val="00AC1176"/>
    <w:rPr>
      <w:rFonts w:ascii="Arial" w:hAnsi="Arial"/>
      <w:b/>
      <w:bCs w:val="0"/>
      <w:i w:val="0"/>
      <w:smallCaps/>
      <w:color w:val="2F8989" w:themeColor="accent1"/>
      <w:spacing w:val="5"/>
      <w:sz w:val="22"/>
    </w:rPr>
  </w:style>
  <w:style w:type="character" w:styleId="BookTitle">
    <w:name w:val="Book Title"/>
    <w:basedOn w:val="DefaultParagraphFont"/>
    <w:uiPriority w:val="33"/>
    <w:qFormat/>
    <w:rsid w:val="00AC1176"/>
    <w:rPr>
      <w:rFonts w:ascii="Arial" w:hAnsi="Arial"/>
      <w:b/>
      <w:bCs w:val="0"/>
      <w:i/>
      <w:iCs w:val="0"/>
      <w:spacing w:val="5"/>
      <w:sz w:val="22"/>
    </w:rPr>
  </w:style>
  <w:style w:type="paragraph" w:styleId="ListParagraph">
    <w:name w:val="List Paragraph"/>
    <w:basedOn w:val="Normal"/>
    <w:uiPriority w:val="34"/>
    <w:qFormat/>
    <w:rsid w:val="00AC117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641A6"/>
    <w:rPr>
      <w:rFonts w:asciiTheme="majorHAnsi" w:eastAsiaTheme="majorEastAsia" w:hAnsiTheme="majorHAnsi" w:cstheme="majorBidi"/>
      <w:color w:val="17434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150"/>
    <w:rPr>
      <w:rFonts w:asciiTheme="minorHAnsi" w:eastAsiaTheme="majorEastAsia" w:hAnsiTheme="minorHAnsi" w:cstheme="majorBidi"/>
      <w:i/>
      <w:iCs w:val="0"/>
      <w:color w:val="23666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150"/>
    <w:rPr>
      <w:rFonts w:asciiTheme="minorHAnsi" w:eastAsiaTheme="majorEastAsia" w:hAnsiTheme="minorHAnsi" w:cstheme="majorBidi"/>
      <w:color w:val="23666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150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1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150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150"/>
    <w:rPr>
      <w:rFonts w:asciiTheme="minorHAnsi" w:eastAsiaTheme="majorEastAsia" w:hAnsiTheme="minorHAnsi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rgbClr val="FFFFFF"/>
      </a:lt1>
      <a:dk2>
        <a:srgbClr val="034E69"/>
      </a:dk2>
      <a:lt2>
        <a:srgbClr val="E4E4E4"/>
      </a:lt2>
      <a:accent1>
        <a:srgbClr val="2F8989"/>
      </a:accent1>
      <a:accent2>
        <a:srgbClr val="2F8989"/>
      </a:accent2>
      <a:accent3>
        <a:srgbClr val="BB6998"/>
      </a:accent3>
      <a:accent4>
        <a:srgbClr val="0070BD"/>
      </a:accent4>
      <a:accent5>
        <a:srgbClr val="A6C2B9"/>
      </a:accent5>
      <a:accent6>
        <a:srgbClr val="510C76"/>
      </a:accent6>
      <a:hlink>
        <a:srgbClr val="024D69"/>
      </a:hlink>
      <a:folHlink>
        <a:srgbClr val="FE717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03AC79FA4124FB8B97F54364EDACC" ma:contentTypeVersion="16" ma:contentTypeDescription="Create a new document." ma:contentTypeScope="" ma:versionID="62fc049b5278090d1653298e323d5a73">
  <xsd:schema xmlns:xsd="http://www.w3.org/2001/XMLSchema" xmlns:xs="http://www.w3.org/2001/XMLSchema" xmlns:p="http://schemas.microsoft.com/office/2006/metadata/properties" xmlns:ns2="8ed90682-c000-4035-8bf6-4b74f953736d" xmlns:ns3="eaa86ac4-6f89-4dfd-b4aa-4024b52c59b4" targetNamespace="http://schemas.microsoft.com/office/2006/metadata/properties" ma:root="true" ma:fieldsID="f74f538d10d9f4ca74a8b86bb2581a1a" ns2:_="" ns3:_="">
    <xsd:import namespace="8ed90682-c000-4035-8bf6-4b74f953736d"/>
    <xsd:import namespace="eaa86ac4-6f89-4dfd-b4aa-4024b52c5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0682-c000-4035-8bf6-4b74f9537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36d8f-251b-46dc-bf74-56612f19a6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86ac4-6f89-4dfd-b4aa-4024b52c59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e38c3-68d9-4980-8367-81a8c0f3a67c}" ma:internalName="TaxCatchAll" ma:showField="CatchAllData" ma:web="eaa86ac4-6f89-4dfd-b4aa-4024b52c5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EAD72-A50A-4F34-9843-630E16C19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EF945-AC43-451B-BB45-81F7277B2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0682-c000-4035-8bf6-4b74f953736d"/>
    <ds:schemaRef ds:uri="eaa86ac4-6f89-4dfd-b4aa-4024b52c5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Douglas</dc:creator>
  <cp:keywords/>
  <dc:description/>
  <cp:lastModifiedBy>Leigh Douglas</cp:lastModifiedBy>
  <cp:revision>2</cp:revision>
  <dcterms:created xsi:type="dcterms:W3CDTF">2026-02-01T20:43:00Z</dcterms:created>
  <dcterms:modified xsi:type="dcterms:W3CDTF">2026-02-01T20:43:00Z</dcterms:modified>
</cp:coreProperties>
</file>